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A59" w:rsidRPr="00C50C14" w:rsidRDefault="00C50C14" w:rsidP="00C50C14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proofErr w:type="spellStart"/>
      <w:r w:rsidRPr="00C50C14">
        <w:rPr>
          <w:rFonts w:ascii="Arial" w:hAnsi="Arial" w:cs="Arial"/>
          <w:b/>
          <w:bCs/>
          <w:sz w:val="36"/>
          <w:szCs w:val="36"/>
        </w:rPr>
        <w:t>Syllabus</w:t>
      </w:r>
      <w:proofErr w:type="spellEnd"/>
    </w:p>
    <w:bookmarkEnd w:id="0"/>
    <w:p w:rsidR="00920A59" w:rsidRPr="009A49AD" w:rsidRDefault="00920A59" w:rsidP="00645948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6"/>
        <w:gridCol w:w="6904"/>
      </w:tblGrid>
      <w:tr w:rsidR="00920A59" w:rsidRPr="009A49A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9A49AD" w:rsidRDefault="00920A59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Instructor's name: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9A49AD" w:rsidRDefault="00AA4601" w:rsidP="00645948">
            <w:pPr>
              <w:snapToGrid w:val="0"/>
              <w:spacing w:after="0" w:line="360" w:lineRule="auto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9A49AD">
              <w:rPr>
                <w:rFonts w:ascii="Arial" w:hAnsi="Arial" w:cs="Arial"/>
                <w:sz w:val="18"/>
                <w:szCs w:val="18"/>
              </w:rPr>
              <w:t>Deana Desa</w:t>
            </w:r>
          </w:p>
        </w:tc>
      </w:tr>
      <w:tr w:rsidR="00920A59" w:rsidRPr="00C50C1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9A49AD" w:rsidRDefault="00920A59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title: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9A49AD" w:rsidRDefault="00AA4601" w:rsidP="00645948">
            <w:pPr>
              <w:snapToGrid w:val="0"/>
              <w:spacing w:after="0" w:line="360" w:lineRule="auto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Measurement Invariance for Cross-Cultural Comparison</w:t>
            </w:r>
          </w:p>
        </w:tc>
      </w:tr>
      <w:tr w:rsidR="00920A59" w:rsidRPr="009A49A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9A49AD" w:rsidRDefault="00920A59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</w:t>
            </w:r>
            <w:r w:rsidRPr="009A4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  <w:proofErr w:type="spellEnd"/>
            <w:r w:rsidRPr="009A4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9A49AD" w:rsidRDefault="00A2053F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sz w:val="18"/>
                <w:szCs w:val="18"/>
                <w:lang w:val="en-US"/>
              </w:rPr>
              <w:t>Workshop</w:t>
            </w:r>
          </w:p>
        </w:tc>
      </w:tr>
      <w:tr w:rsidR="00920A59" w:rsidRPr="00F40FE7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A59" w:rsidRPr="009A49AD" w:rsidRDefault="00920A59" w:rsidP="00645948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Number of credit hours per edition: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59" w:rsidRPr="009A49AD" w:rsidRDefault="0009045D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920A59" w:rsidRPr="009A49AD">
              <w:rPr>
                <w:rFonts w:ascii="Arial" w:hAnsi="Arial" w:cs="Arial"/>
                <w:sz w:val="18"/>
                <w:szCs w:val="18"/>
                <w:lang w:val="en-US"/>
              </w:rPr>
              <w:t>0 x 45 min</w:t>
            </w:r>
            <w:r w:rsidR="002635E7" w:rsidRPr="009A49AD">
              <w:rPr>
                <w:rFonts w:ascii="Arial" w:hAnsi="Arial" w:cs="Arial"/>
                <w:sz w:val="18"/>
                <w:szCs w:val="18"/>
                <w:lang w:val="en-US"/>
              </w:rPr>
              <w:t xml:space="preserve"> (workshop)</w:t>
            </w:r>
          </w:p>
        </w:tc>
      </w:tr>
      <w:tr w:rsidR="00035C2F" w:rsidRPr="009A49A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35C2F" w:rsidP="00645948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2F" w:rsidRPr="009A49AD" w:rsidRDefault="00A66CD1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3ECTS</w:t>
            </w:r>
          </w:p>
        </w:tc>
      </w:tr>
      <w:tr w:rsidR="009649C3" w:rsidRPr="009A49AD" w:rsidTr="00817499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C3" w:rsidRPr="009A49AD" w:rsidRDefault="009649C3" w:rsidP="00645948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C3" w:rsidRPr="009A49AD" w:rsidRDefault="009569B6" w:rsidP="00645948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sz w:val="18"/>
                <w:szCs w:val="18"/>
                <w:lang w:val="en-US"/>
              </w:rPr>
              <w:t>Workshop</w:t>
            </w:r>
            <w:r w:rsidR="00E41EB1" w:rsidRPr="009A49A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09045D" w:rsidRPr="009A49A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E41EB1" w:rsidRPr="009A49AD">
              <w:rPr>
                <w:rFonts w:ascii="Arial" w:hAnsi="Arial" w:cs="Arial"/>
                <w:sz w:val="18"/>
                <w:szCs w:val="18"/>
                <w:lang w:val="en-US"/>
              </w:rPr>
              <w:t>0h</w:t>
            </w:r>
          </w:p>
        </w:tc>
      </w:tr>
      <w:tr w:rsidR="00035C2F" w:rsidRPr="009A49A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35C2F" w:rsidP="00645948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proofErr w:type="spellStart"/>
            <w:r w:rsidRPr="009A49AD">
              <w:rPr>
                <w:rFonts w:ascii="Arial" w:hAnsi="Arial" w:cs="Arial"/>
                <w:b/>
                <w:bCs/>
                <w:sz w:val="18"/>
                <w:szCs w:val="18"/>
              </w:rPr>
              <w:t>oftware</w:t>
            </w:r>
            <w:proofErr w:type="spellEnd"/>
            <w:r w:rsidRPr="009A4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be </w:t>
            </w:r>
            <w:proofErr w:type="spellStart"/>
            <w:r w:rsidRPr="009A49AD">
              <w:rPr>
                <w:rFonts w:ascii="Arial" w:hAnsi="Arial" w:cs="Arial"/>
                <w:b/>
                <w:bCs/>
                <w:sz w:val="18"/>
                <w:szCs w:val="18"/>
              </w:rPr>
              <w:t>used</w:t>
            </w:r>
            <w:proofErr w:type="spellEnd"/>
            <w:r w:rsidRPr="009A4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2F" w:rsidRPr="009A49AD" w:rsidRDefault="001A6FF9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SPSS, </w:t>
            </w:r>
            <w:proofErr w:type="spellStart"/>
            <w:r w:rsidR="00B9607F" w:rsidRPr="009A49AD">
              <w:rPr>
                <w:rFonts w:ascii="Arial" w:hAnsi="Arial" w:cs="Arial"/>
                <w:sz w:val="18"/>
                <w:szCs w:val="18"/>
              </w:rPr>
              <w:t>Mplus</w:t>
            </w:r>
            <w:proofErr w:type="spellEnd"/>
            <w:r w:rsidR="00CE6EDE">
              <w:rPr>
                <w:rFonts w:ascii="Arial" w:hAnsi="Arial" w:cs="Arial"/>
                <w:sz w:val="18"/>
                <w:szCs w:val="18"/>
              </w:rPr>
              <w:t>, R</w:t>
            </w:r>
          </w:p>
        </w:tc>
      </w:tr>
      <w:tr w:rsidR="00035C2F" w:rsidRPr="00C50C14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35C2F" w:rsidP="00645948">
            <w:pPr>
              <w:snapToGrid w:val="0"/>
              <w:spacing w:after="0" w:line="36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Teaching</w:t>
            </w:r>
            <w:proofErr w:type="spellEnd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day</w:t>
            </w:r>
            <w:proofErr w:type="spellEnd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schedule</w:t>
            </w:r>
            <w:proofErr w:type="spellEnd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preferences</w:t>
            </w:r>
            <w:proofErr w:type="spellEnd"/>
            <w:r w:rsidRPr="009A49A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A2A" w:rsidRPr="009A49AD" w:rsidRDefault="00CC34C0" w:rsidP="003D7D2A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Day 1</w:t>
            </w:r>
          </w:p>
          <w:p w:rsidR="00B04A2A" w:rsidRPr="009A49AD" w:rsidRDefault="00525221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3 x 90 min – sessions with </w:t>
            </w:r>
            <w:r w:rsidR="002341CB"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</w:t>
            </w:r>
            <w:r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x 15 min breaks and 1 x 90 min </w:t>
            </w:r>
            <w:r w:rsidR="002341CB"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lunch </w:t>
            </w:r>
            <w:r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break</w:t>
            </w:r>
          </w:p>
          <w:p w:rsidR="006D6721" w:rsidRPr="009A49AD" w:rsidRDefault="006D6721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Day 2-4</w:t>
            </w:r>
          </w:p>
          <w:p w:rsidR="00035C2F" w:rsidRPr="009A49AD" w:rsidRDefault="007431F6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  <w:r w:rsidR="006D6721"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x 90 min – sessions with 2 x 15 min breaks and 1 x 90 min </w:t>
            </w:r>
            <w:r w:rsidR="002341CB"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lunch </w:t>
            </w:r>
            <w:r w:rsidR="006D6721" w:rsidRPr="009A49A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break</w:t>
            </w:r>
          </w:p>
        </w:tc>
      </w:tr>
      <w:tr w:rsidR="00065BA4" w:rsidRPr="00C50C14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9A49AD" w:rsidRDefault="00065BA4" w:rsidP="0064594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E55" w:rsidRPr="00F40FE7" w:rsidRDefault="00971E55" w:rsidP="00645948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After this workshop, students will possess </w:t>
            </w:r>
            <w:r w:rsidRPr="00F40FE7"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</w:t>
            </w: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 regarding:</w:t>
            </w:r>
          </w:p>
          <w:p w:rsidR="00AA4601" w:rsidRPr="00F40FE7" w:rsidRDefault="00AA4601" w:rsidP="00645948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Fundamentals of measurement invariance testing in cross-cultural research</w:t>
            </w:r>
          </w:p>
          <w:p w:rsidR="00AA4601" w:rsidRPr="00F40FE7" w:rsidRDefault="00AA4601" w:rsidP="00645948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Continuous and categorical approaches using multiple-group confirmatory factor analysis (MGCFA) and their approach  within the SEM framework</w:t>
            </w:r>
          </w:p>
          <w:p w:rsidR="00065BA4" w:rsidRPr="00F40FE7" w:rsidRDefault="00AA4601" w:rsidP="00645948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Significance difference </w:t>
            </w:r>
            <w:proofErr w:type="spellStart"/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testings</w:t>
            </w:r>
            <w:proofErr w:type="spellEnd"/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Satorra-Bentler</w:t>
            </w:r>
            <w:proofErr w:type="spellEnd"/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 (SB), and DIFFTEST)</w:t>
            </w:r>
          </w:p>
        </w:tc>
      </w:tr>
      <w:tr w:rsidR="00065BA4" w:rsidRPr="00C50C14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9A49AD" w:rsidRDefault="00065BA4" w:rsidP="0064594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sz w:val="18"/>
                <w:szCs w:val="18"/>
                <w:lang w:val="en-US"/>
              </w:rPr>
              <w:t>Abilities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E55" w:rsidRPr="00F40FE7" w:rsidRDefault="00971E55" w:rsidP="00645948">
            <w:pPr>
              <w:spacing w:line="360" w:lineRule="auto"/>
              <w:ind w:left="426" w:hanging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After the course students will have the </w:t>
            </w:r>
            <w:r w:rsidRPr="00F40FE7">
              <w:rPr>
                <w:rFonts w:ascii="Arial" w:hAnsi="Arial" w:cs="Arial"/>
                <w:b/>
                <w:sz w:val="18"/>
                <w:szCs w:val="18"/>
                <w:lang w:val="en-US"/>
              </w:rPr>
              <w:t>abilities</w:t>
            </w: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 to:</w:t>
            </w:r>
          </w:p>
          <w:p w:rsidR="00AA4601" w:rsidRPr="00F40FE7" w:rsidRDefault="00AA4601" w:rsidP="00645948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Measurement invariance testing using </w:t>
            </w:r>
            <w:proofErr w:type="spellStart"/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 (and </w:t>
            </w:r>
            <w:proofErr w:type="spellStart"/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 Automation) from large-scale assessment</w:t>
            </w:r>
          </w:p>
          <w:p w:rsidR="00AA4601" w:rsidRPr="009A49AD" w:rsidRDefault="00AA4601" w:rsidP="00645948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9AD">
              <w:rPr>
                <w:rFonts w:ascii="Arial" w:hAnsi="Arial" w:cs="Arial"/>
                <w:sz w:val="18"/>
                <w:szCs w:val="18"/>
              </w:rPr>
              <w:t>Interpret</w:t>
            </w:r>
            <w:proofErr w:type="spellEnd"/>
            <w:r w:rsidRPr="009A49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hAnsi="Arial" w:cs="Arial"/>
                <w:sz w:val="18"/>
                <w:szCs w:val="18"/>
              </w:rPr>
              <w:t>invariance</w:t>
            </w:r>
            <w:proofErr w:type="spellEnd"/>
            <w:r w:rsidRPr="009A49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hAnsi="Arial" w:cs="Arial"/>
                <w:sz w:val="18"/>
                <w:szCs w:val="18"/>
              </w:rPr>
              <w:t>results</w:t>
            </w:r>
            <w:proofErr w:type="spellEnd"/>
            <w:r w:rsidRPr="009A49AD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9A49AD">
              <w:rPr>
                <w:rFonts w:ascii="Arial" w:hAnsi="Arial" w:cs="Arial"/>
                <w:sz w:val="18"/>
                <w:szCs w:val="18"/>
              </w:rPr>
              <w:t>Mplus</w:t>
            </w:r>
            <w:proofErr w:type="spellEnd"/>
          </w:p>
          <w:p w:rsidR="00065BA4" w:rsidRPr="00F40FE7" w:rsidRDefault="00AA4601" w:rsidP="00645948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Guidelines for writing invariance or cross-cultural research paper for publication </w:t>
            </w:r>
          </w:p>
        </w:tc>
      </w:tr>
      <w:tr w:rsidR="00065BA4" w:rsidRPr="00C50C14" w:rsidTr="00817499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BA4" w:rsidRPr="009A49AD" w:rsidRDefault="00065BA4" w:rsidP="0064594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sz w:val="18"/>
                <w:szCs w:val="18"/>
                <w:lang w:val="en-US"/>
              </w:rPr>
              <w:t>Social competences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DE" w:rsidRPr="00F40FE7" w:rsidRDefault="00CE6EDE" w:rsidP="00645948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Understanding of cultural differences in measurement and assessment</w:t>
            </w:r>
          </w:p>
          <w:p w:rsidR="00AA4601" w:rsidRPr="00F40FE7" w:rsidRDefault="00AA4601" w:rsidP="00645948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Understand the fundamentals of measurement invariance</w:t>
            </w:r>
          </w:p>
          <w:p w:rsidR="00AA4601" w:rsidRPr="00F40FE7" w:rsidRDefault="00AA4601" w:rsidP="00645948">
            <w:pPr>
              <w:pStyle w:val="Akapitzlist"/>
              <w:numPr>
                <w:ilvl w:val="0"/>
                <w:numId w:val="11"/>
              </w:numPr>
              <w:suppressAutoHyphens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Cross-cultural comparisons using large scale assessment</w:t>
            </w:r>
          </w:p>
          <w:p w:rsidR="00065BA4" w:rsidRPr="00F40FE7" w:rsidRDefault="00AA4601" w:rsidP="00645948">
            <w:pPr>
              <w:pStyle w:val="Akapitzlist"/>
              <w:numPr>
                <w:ilvl w:val="0"/>
                <w:numId w:val="11"/>
              </w:numPr>
              <w:suppressAutoHyphens w:val="0"/>
              <w:spacing w:before="120" w:after="120" w:line="36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Knowledge and application on cross-cultural comparison within SEM framework</w:t>
            </w:r>
          </w:p>
        </w:tc>
      </w:tr>
      <w:tr w:rsidR="00035C2F" w:rsidRPr="00C50C1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35C2F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Course objectives: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546" w:rsidRPr="009A49AD" w:rsidRDefault="00AA4601" w:rsidP="00645948">
            <w:pPr>
              <w:suppressAutoHyphens w:val="0"/>
              <w:spacing w:after="0"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 xml:space="preserve">The workshop will provide the fundamentals of measurement invariance testing in cross-cultural research. Moreover, it will demonstrate the procedures within the latent </w:t>
            </w: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traits framework for more than two groups. Both, the continuous and categorical approach using multiple-group confirmatory factor analysis (MG-CFA) will be reviewed.</w:t>
            </w:r>
          </w:p>
        </w:tc>
      </w:tr>
      <w:tr w:rsidR="00035C2F" w:rsidRPr="00C50C1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35C2F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Prerequisites: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1" w:rsidRPr="00F40FE7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FE7">
              <w:rPr>
                <w:rFonts w:ascii="Arial" w:hAnsi="Arial" w:cs="Arial"/>
                <w:sz w:val="18"/>
                <w:szCs w:val="18"/>
                <w:lang w:val="en-US"/>
              </w:rPr>
              <w:t>Knowledge in basic statistics and latent trait analysis</w:t>
            </w:r>
          </w:p>
          <w:p w:rsidR="00E214E7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This training is well suited for participants with basic understanding on statistics and latent trait analysis (e.g., factor analysis, structural equation modeling). Knowledge of the software is </w:t>
            </w:r>
            <w:r w:rsidR="00CE6EDE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a plus but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not required.</w:t>
            </w:r>
          </w:p>
        </w:tc>
      </w:tr>
      <w:tr w:rsidR="00035C2F" w:rsidRPr="00C50C1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35C2F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Pass requirements: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Actively participate in the workshop</w:t>
            </w: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Actively participate in the analytical exercises</w:t>
            </w:r>
          </w:p>
          <w:p w:rsidR="00F26546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Oral presentation from the analysis and exercises </w:t>
            </w:r>
          </w:p>
        </w:tc>
      </w:tr>
      <w:tr w:rsidR="00035C2F" w:rsidRPr="009A49AD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C2F" w:rsidRPr="009A49AD" w:rsidRDefault="00035C2F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Recommended reading:</w:t>
            </w: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Compulsory Readings</w:t>
            </w:r>
          </w:p>
          <w:p w:rsidR="00645948" w:rsidRPr="00A66CD1" w:rsidRDefault="00AA4601" w:rsidP="00645948">
            <w:pPr>
              <w:spacing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Byrne, B. M., &amp; Watkins, D. (2003). The Issue Of Measurement Invariance Revisited. Journal of Cross-Cultural Psychology, 34(2), 155–175. </w:t>
            </w:r>
          </w:p>
          <w:p w:rsidR="00AA4601" w:rsidRPr="00A66CD1" w:rsidRDefault="00AA4601" w:rsidP="00645948">
            <w:pPr>
              <w:spacing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Chen, F. F. (2007). Sensitivity of goodness of fit indexes to lack of measurement</w:t>
            </w:r>
            <w:r w:rsidR="00645948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invariance.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Structural Equation Modeling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14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(3), 464–504.</w:t>
            </w:r>
          </w:p>
          <w:p w:rsidR="00645948" w:rsidRPr="00A66CD1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Little, T. D., &amp;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Slegers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D. W. (2005). Factor analysis: Multiple groups.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Encyclopedia of</w:t>
            </w:r>
            <w:r w:rsidR="00645948"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statistics in behavioral science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AA4601" w:rsidRPr="00A66CD1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Lubke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G., &amp;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B. (2004a). Applying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multigroup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confirmatory factor models for</w:t>
            </w:r>
            <w:r w:rsidR="00645948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continuous outcomes to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likert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scale data complicates meaningful group comparisons.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Structural Equation Modeling.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11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, 514–534.</w:t>
            </w:r>
          </w:p>
          <w:p w:rsidR="00AA4601" w:rsidRPr="00A66CD1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Meredith, W. (1993). Measurement invariance, factor analysis and factorial invariance.</w:t>
            </w:r>
            <w:r w:rsidR="00645948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Psychometrika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58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(4), 525–543. Retrieved 2013-06-10</w:t>
            </w:r>
          </w:p>
          <w:p w:rsidR="00AA4601" w:rsidRPr="00A66CD1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Millsap, R. E. (1995). Measurement invariance, predictive invariance, and the duality</w:t>
            </w:r>
            <w:r w:rsidR="00645948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paradox.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Multivariate Behavioral Research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30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(4), 577–605.</w:t>
            </w:r>
          </w:p>
          <w:p w:rsidR="003754F0" w:rsidRPr="00A66CD1" w:rsidRDefault="003754F0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Millsap, R. E., &amp;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Olivera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-Aguilar, M. (2012). Investigating measurement invariance using confirmatory factor analysis. In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Handbook of structural equation modeling.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New York: Guilford.</w:t>
            </w:r>
          </w:p>
          <w:p w:rsidR="00AA4601" w:rsidRPr="00A66CD1" w:rsidRDefault="00AA4601" w:rsidP="00645948">
            <w:pPr>
              <w:spacing w:line="360" w:lineRule="auto"/>
              <w:ind w:left="709" w:hanging="709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Additional Readings</w:t>
            </w:r>
          </w:p>
          <w:p w:rsidR="00AA4601" w:rsidRPr="00A66CD1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2CD1">
              <w:rPr>
                <w:rFonts w:ascii="Arial" w:hAnsi="Arial" w:cs="Arial"/>
                <w:sz w:val="18"/>
                <w:szCs w:val="18"/>
                <w:lang w:val="de-DE"/>
              </w:rPr>
              <w:t xml:space="preserve">Cheung, G. W., &amp; </w:t>
            </w:r>
            <w:proofErr w:type="spellStart"/>
            <w:r w:rsidRPr="00D72CD1">
              <w:rPr>
                <w:rFonts w:ascii="Arial" w:hAnsi="Arial" w:cs="Arial"/>
                <w:sz w:val="18"/>
                <w:szCs w:val="18"/>
                <w:lang w:val="de-DE"/>
              </w:rPr>
              <w:t>Rensvold</w:t>
            </w:r>
            <w:proofErr w:type="spellEnd"/>
            <w:r w:rsidRPr="00D72CD1">
              <w:rPr>
                <w:rFonts w:ascii="Arial" w:hAnsi="Arial" w:cs="Arial"/>
                <w:sz w:val="18"/>
                <w:szCs w:val="18"/>
                <w:lang w:val="de-DE"/>
              </w:rPr>
              <w:t xml:space="preserve">, R. B. (2002).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Evaluating goodness-of-fit indexes for testing</w:t>
            </w:r>
            <w:r w:rsidR="00645948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measurement invariance.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Structural equation modeling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9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(2), 233–255.</w:t>
            </w:r>
          </w:p>
          <w:p w:rsidR="00AA4601" w:rsidRPr="00A66CD1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Davidov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, E. (2008). A cross-country and cross-time comparison of the human values</w:t>
            </w:r>
            <w:r w:rsidR="00645948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measurements with the second round of the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european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social survey. In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Survey</w:t>
            </w:r>
            <w:r w:rsidR="00645948"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research methods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(Vol. 2, pp. 33–46).</w:t>
            </w:r>
          </w:p>
          <w:p w:rsidR="00AA4601" w:rsidRPr="00A66CD1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Lubke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G., &amp;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B. (2004b). Factor-analyzing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likert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scale data under the assumption of multivariate normality complicates a meaningful comparison of observed groups or latent classes.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Structural Equation Modeling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11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, 514–534.</w:t>
            </w:r>
          </w:p>
          <w:p w:rsidR="00AA4601" w:rsidRPr="00A66CD1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L. K., &amp;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B. O. (2012). </w:t>
            </w:r>
            <w:proofErr w:type="spellStart"/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Mplus</w:t>
            </w:r>
            <w:proofErr w:type="spellEnd"/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user’s guide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(7th ed.). Los Angeles, CA:</w:t>
            </w:r>
            <w:r w:rsidR="00645948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645948" w:rsidRPr="00A66CD1" w:rsidRDefault="00AA4601" w:rsidP="00645948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Muthén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B., &amp;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Asparouhov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T. (2002). Latent variable analysis with categorical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outcomes:Multiple-group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and growth modeling in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Mplus</w:t>
            </w:r>
            <w:proofErr w:type="spellEnd"/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web notes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A66CD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4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(5), 1–22.</w:t>
            </w:r>
          </w:p>
          <w:p w:rsidR="00035C2F" w:rsidRPr="009A49AD" w:rsidRDefault="00AA4601" w:rsidP="00D72CD1">
            <w:pPr>
              <w:autoSpaceDE w:val="0"/>
              <w:autoSpaceDN w:val="0"/>
              <w:adjustRightInd w:val="0"/>
              <w:spacing w:after="0" w:line="360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CE6EDE">
              <w:rPr>
                <w:rFonts w:ascii="Arial" w:hAnsi="Arial" w:cs="Arial"/>
                <w:sz w:val="18"/>
                <w:szCs w:val="18"/>
                <w:lang w:val="en-US"/>
              </w:rPr>
              <w:t>Millsap, R. E., &amp; Yun-</w:t>
            </w:r>
            <w:proofErr w:type="spellStart"/>
            <w:r w:rsidRPr="00CE6EDE">
              <w:rPr>
                <w:rFonts w:ascii="Arial" w:hAnsi="Arial" w:cs="Arial"/>
                <w:sz w:val="18"/>
                <w:szCs w:val="18"/>
                <w:lang w:val="en-US"/>
              </w:rPr>
              <w:t>Tein</w:t>
            </w:r>
            <w:proofErr w:type="spellEnd"/>
            <w:r w:rsidRPr="00CE6EDE">
              <w:rPr>
                <w:rFonts w:ascii="Arial" w:hAnsi="Arial" w:cs="Arial"/>
                <w:sz w:val="18"/>
                <w:szCs w:val="18"/>
                <w:lang w:val="en-US"/>
              </w:rPr>
              <w:t xml:space="preserve">, J. (2004).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Assessing factorial invariance in ordered-categorical measures. </w:t>
            </w:r>
            <w:proofErr w:type="spellStart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>Multivariate</w:t>
            </w:r>
            <w:proofErr w:type="spellEnd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>Behavioral</w:t>
            </w:r>
            <w:proofErr w:type="spellEnd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>Research</w:t>
            </w:r>
            <w:proofErr w:type="spellEnd"/>
            <w:r w:rsidRPr="009A49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A49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39 </w:t>
            </w:r>
            <w:r w:rsidRPr="009A49AD">
              <w:rPr>
                <w:rFonts w:ascii="Arial" w:hAnsi="Arial" w:cs="Arial"/>
                <w:sz w:val="18"/>
                <w:szCs w:val="18"/>
              </w:rPr>
              <w:t>(3), 479–515.</w:t>
            </w:r>
          </w:p>
        </w:tc>
      </w:tr>
      <w:tr w:rsidR="00AA4601" w:rsidRPr="009A49AD" w:rsidTr="00714F7E">
        <w:tc>
          <w:tcPr>
            <w:tcW w:w="2366" w:type="dxa"/>
            <w:tcBorders>
              <w:left w:val="single" w:sz="4" w:space="0" w:color="000000"/>
            </w:tcBorders>
            <w:vAlign w:val="center"/>
          </w:tcPr>
          <w:p w:rsidR="00AA4601" w:rsidRPr="009A49AD" w:rsidRDefault="00AA4601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A49A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Course plan:</w:t>
            </w:r>
          </w:p>
        </w:tc>
        <w:tc>
          <w:tcPr>
            <w:tcW w:w="6904" w:type="dxa"/>
            <w:tcBorders>
              <w:left w:val="single" w:sz="4" w:space="0" w:color="000000"/>
              <w:right w:val="single" w:sz="4" w:space="0" w:color="000000"/>
            </w:tcBorders>
          </w:tcPr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b/>
                <w:sz w:val="18"/>
                <w:szCs w:val="18"/>
                <w:lang w:val="en-US"/>
              </w:rPr>
              <w:t>Exercise 1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Aim: Implementation of </w:t>
            </w:r>
            <w:r w:rsidR="00CE6EDE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the continuous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MGFCA in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="00CE6EDE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Outcome: Participants have applied knowledge gained from the workshop, and applied it to </w:t>
            </w:r>
            <w:r w:rsidR="003754F0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continuous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invariance testing using LSA data in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Form: colloquium/group-work</w:t>
            </w: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b/>
                <w:sz w:val="18"/>
                <w:szCs w:val="18"/>
                <w:lang w:val="en-US"/>
              </w:rPr>
              <w:t>Exercise 2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Aim: Implementation of</w:t>
            </w:r>
            <w:r w:rsidR="00CE6EDE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the categorical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MGFCA in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  <w:r w:rsidRPr="00A66CD1" w:rsidDel="00D405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Outcome: Participants have applied knowledge gained from the workshop, and applied it to </w:t>
            </w:r>
            <w:r w:rsidR="003754F0"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categorical 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invariance testing using LSA data in </w:t>
            </w:r>
            <w:proofErr w:type="spellStart"/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Mplus</w:t>
            </w:r>
            <w:proofErr w:type="spellEnd"/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Form: colloquium/group-work</w:t>
            </w: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b/>
                <w:sz w:val="18"/>
                <w:szCs w:val="18"/>
                <w:lang w:val="en-US"/>
              </w:rPr>
              <w:t>Exercise 3</w:t>
            </w: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>Aim: Interpretation of invariance analyses and oral presentation</w:t>
            </w:r>
          </w:p>
          <w:p w:rsidR="00AA4601" w:rsidRPr="00A66CD1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6CD1">
              <w:rPr>
                <w:rFonts w:ascii="Arial" w:hAnsi="Arial" w:cs="Arial"/>
                <w:sz w:val="18"/>
                <w:szCs w:val="18"/>
                <w:lang w:val="en-US"/>
              </w:rPr>
              <w:t xml:space="preserve">Outcome: Participants have applied theoretical and contextual knowledge for the interpretation of the results, as well as how to present invariance results in research paper </w:t>
            </w:r>
          </w:p>
          <w:p w:rsidR="00AA4601" w:rsidRPr="009A49AD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49AD">
              <w:rPr>
                <w:rFonts w:ascii="Arial" w:hAnsi="Arial" w:cs="Arial"/>
                <w:sz w:val="18"/>
                <w:szCs w:val="18"/>
              </w:rPr>
              <w:t xml:space="preserve">Form: </w:t>
            </w:r>
            <w:proofErr w:type="spellStart"/>
            <w:r w:rsidRPr="009A49AD">
              <w:rPr>
                <w:rFonts w:ascii="Arial" w:hAnsi="Arial" w:cs="Arial"/>
                <w:sz w:val="18"/>
                <w:szCs w:val="18"/>
              </w:rPr>
              <w:t>group-work</w:t>
            </w:r>
            <w:proofErr w:type="spellEnd"/>
            <w:r w:rsidRPr="009A49A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A49AD">
              <w:rPr>
                <w:rFonts w:ascii="Arial" w:hAnsi="Arial" w:cs="Arial"/>
                <w:sz w:val="18"/>
                <w:szCs w:val="18"/>
              </w:rPr>
              <w:t>individually</w:t>
            </w:r>
            <w:proofErr w:type="spellEnd"/>
          </w:p>
        </w:tc>
      </w:tr>
      <w:tr w:rsidR="00AA4601" w:rsidRPr="009A49AD" w:rsidTr="00714F7E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4601" w:rsidRPr="009A49AD" w:rsidRDefault="00AA4601" w:rsidP="00645948">
            <w:pPr>
              <w:pStyle w:val="NormalnyWeb"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01" w:rsidRPr="009A49AD" w:rsidRDefault="00AA4601" w:rsidP="006459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7457" w:rsidRPr="009A49AD" w:rsidRDefault="00567457" w:rsidP="00D72CD1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sectPr w:rsidR="00567457" w:rsidRPr="009A49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68" w:right="1417" w:bottom="1417" w:left="1417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97" w:rsidRDefault="00925697">
      <w:pPr>
        <w:spacing w:after="0" w:line="240" w:lineRule="auto"/>
      </w:pPr>
      <w:r>
        <w:separator/>
      </w:r>
    </w:p>
  </w:endnote>
  <w:endnote w:type="continuationSeparator" w:id="0">
    <w:p w:rsidR="00925697" w:rsidRDefault="0092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1417D5">
    <w:pPr>
      <w:ind w:right="-567"/>
      <w:jc w:val="right"/>
      <w:rPr>
        <w:rFonts w:ascii="Arial" w:hAnsi="Arial" w:cs="Arial"/>
        <w:sz w:val="4"/>
        <w:szCs w:val="4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1527175</wp:posOffset>
              </wp:positionH>
              <wp:positionV relativeFrom="paragraph">
                <wp:posOffset>165735</wp:posOffset>
              </wp:positionV>
              <wp:extent cx="3253105" cy="422275"/>
              <wp:effectExtent l="3175" t="3810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A59" w:rsidRDefault="00920A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25pt;margin-top:13.05pt;width:256.15pt;height:33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aMegIAAP8EAAAOAAAAZHJzL2Uyb0RvYy54bWysVNtu3CAQfa/Uf0C8b3yJN1lb641y6VaV&#10;0ouU9ANYwGtUDBTYtdOo/94BrzdJL1JV1Q94gOFwZs4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" stroked="f">
              <v:textbox inset="0,0,0,0">
                <w:txbxContent>
                  <w:p w:rsidR="00920A59" w:rsidRDefault="00920A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97" w:rsidRDefault="00925697">
      <w:pPr>
        <w:spacing w:after="0" w:line="240" w:lineRule="auto"/>
      </w:pPr>
      <w:r>
        <w:separator/>
      </w:r>
    </w:p>
  </w:footnote>
  <w:footnote w:type="continuationSeparator" w:id="0">
    <w:p w:rsidR="00925697" w:rsidRDefault="0092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1417D5">
    <w:pPr>
      <w:pStyle w:val="Nagwek1"/>
    </w:pPr>
    <w:r>
      <w:rPr>
        <w:noProof/>
        <w:lang w:val="en-US" w:eastAsia="en-US"/>
      </w:rPr>
      <w:drawing>
        <wp:inline distT="0" distB="0" distL="0" distR="0">
          <wp:extent cx="561022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9" w:rsidRDefault="00920A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65B25"/>
    <w:multiLevelType w:val="hybridMultilevel"/>
    <w:tmpl w:val="A882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43C2"/>
    <w:multiLevelType w:val="hybridMultilevel"/>
    <w:tmpl w:val="39D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45ED"/>
    <w:multiLevelType w:val="hybridMultilevel"/>
    <w:tmpl w:val="B1F0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4394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9B01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1737EA"/>
    <w:multiLevelType w:val="hybridMultilevel"/>
    <w:tmpl w:val="70E4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389"/>
    <w:multiLevelType w:val="multilevel"/>
    <w:tmpl w:val="D26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80934"/>
    <w:multiLevelType w:val="hybridMultilevel"/>
    <w:tmpl w:val="5CA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954C3"/>
    <w:multiLevelType w:val="hybridMultilevel"/>
    <w:tmpl w:val="B058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CEF8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35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7F6342"/>
    <w:multiLevelType w:val="singleLevel"/>
    <w:tmpl w:val="6D70F6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B25061"/>
    <w:multiLevelType w:val="hybridMultilevel"/>
    <w:tmpl w:val="A5A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740FE"/>
    <w:multiLevelType w:val="singleLevel"/>
    <w:tmpl w:val="1F00C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AA3DAF"/>
    <w:multiLevelType w:val="hybridMultilevel"/>
    <w:tmpl w:val="3BFCC2E0"/>
    <w:lvl w:ilvl="0" w:tplc="A04AA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403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0C2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9623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960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CF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D20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96B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A7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F"/>
    <w:rsid w:val="000045C9"/>
    <w:rsid w:val="00035C2F"/>
    <w:rsid w:val="000613E6"/>
    <w:rsid w:val="00065BA4"/>
    <w:rsid w:val="00073517"/>
    <w:rsid w:val="0008537D"/>
    <w:rsid w:val="0009045D"/>
    <w:rsid w:val="00097FBF"/>
    <w:rsid w:val="00104D3D"/>
    <w:rsid w:val="001417D5"/>
    <w:rsid w:val="001A5BBD"/>
    <w:rsid w:val="001A6FF9"/>
    <w:rsid w:val="001E2C52"/>
    <w:rsid w:val="001E4B74"/>
    <w:rsid w:val="00221B25"/>
    <w:rsid w:val="002341CB"/>
    <w:rsid w:val="002635E7"/>
    <w:rsid w:val="0029643C"/>
    <w:rsid w:val="002F00C6"/>
    <w:rsid w:val="002F175F"/>
    <w:rsid w:val="0037475D"/>
    <w:rsid w:val="003754F0"/>
    <w:rsid w:val="003D7D2A"/>
    <w:rsid w:val="004130B7"/>
    <w:rsid w:val="00440DEB"/>
    <w:rsid w:val="00445840"/>
    <w:rsid w:val="004C4F2F"/>
    <w:rsid w:val="00517BA2"/>
    <w:rsid w:val="00525221"/>
    <w:rsid w:val="00536D43"/>
    <w:rsid w:val="00567457"/>
    <w:rsid w:val="00594A80"/>
    <w:rsid w:val="005D3708"/>
    <w:rsid w:val="00644671"/>
    <w:rsid w:val="00645948"/>
    <w:rsid w:val="006B21D3"/>
    <w:rsid w:val="006D4DE1"/>
    <w:rsid w:val="006D6721"/>
    <w:rsid w:val="006E5313"/>
    <w:rsid w:val="006E7089"/>
    <w:rsid w:val="006F0B7D"/>
    <w:rsid w:val="006F5E95"/>
    <w:rsid w:val="007431F6"/>
    <w:rsid w:val="007B04D9"/>
    <w:rsid w:val="0081312D"/>
    <w:rsid w:val="00817499"/>
    <w:rsid w:val="00842996"/>
    <w:rsid w:val="00866307"/>
    <w:rsid w:val="008C517C"/>
    <w:rsid w:val="00920A59"/>
    <w:rsid w:val="00925697"/>
    <w:rsid w:val="009258CF"/>
    <w:rsid w:val="009569B6"/>
    <w:rsid w:val="009649C3"/>
    <w:rsid w:val="00971E55"/>
    <w:rsid w:val="009A3A51"/>
    <w:rsid w:val="009A49AD"/>
    <w:rsid w:val="009A5B8C"/>
    <w:rsid w:val="009C713C"/>
    <w:rsid w:val="009D5B61"/>
    <w:rsid w:val="00A047DA"/>
    <w:rsid w:val="00A10162"/>
    <w:rsid w:val="00A2053F"/>
    <w:rsid w:val="00A408EE"/>
    <w:rsid w:val="00A66CD1"/>
    <w:rsid w:val="00A7202F"/>
    <w:rsid w:val="00A94007"/>
    <w:rsid w:val="00AA4014"/>
    <w:rsid w:val="00AA4601"/>
    <w:rsid w:val="00AD6268"/>
    <w:rsid w:val="00AF3135"/>
    <w:rsid w:val="00AF4A5F"/>
    <w:rsid w:val="00B02741"/>
    <w:rsid w:val="00B04A2A"/>
    <w:rsid w:val="00B817AC"/>
    <w:rsid w:val="00B9607F"/>
    <w:rsid w:val="00BE6258"/>
    <w:rsid w:val="00C02E4E"/>
    <w:rsid w:val="00C15BD0"/>
    <w:rsid w:val="00C50C14"/>
    <w:rsid w:val="00C954B2"/>
    <w:rsid w:val="00CB0910"/>
    <w:rsid w:val="00CB5CB5"/>
    <w:rsid w:val="00CC34C0"/>
    <w:rsid w:val="00CE6EDE"/>
    <w:rsid w:val="00CF4C83"/>
    <w:rsid w:val="00D25A20"/>
    <w:rsid w:val="00D662DC"/>
    <w:rsid w:val="00D72CD1"/>
    <w:rsid w:val="00D9410B"/>
    <w:rsid w:val="00DC3283"/>
    <w:rsid w:val="00E031B6"/>
    <w:rsid w:val="00E214E7"/>
    <w:rsid w:val="00E41EB1"/>
    <w:rsid w:val="00EA1997"/>
    <w:rsid w:val="00EB3574"/>
    <w:rsid w:val="00F02999"/>
    <w:rsid w:val="00F26546"/>
    <w:rsid w:val="00F40FE7"/>
    <w:rsid w:val="00F72A08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semiHidden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semiHidden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569B6"/>
  </w:style>
  <w:style w:type="paragraph" w:styleId="Bibliografia">
    <w:name w:val="Bibliography"/>
    <w:basedOn w:val="Normalny"/>
    <w:next w:val="Normalny"/>
    <w:uiPriority w:val="37"/>
    <w:semiHidden/>
    <w:unhideWhenUsed/>
    <w:rsid w:val="009D5B61"/>
  </w:style>
  <w:style w:type="character" w:styleId="Odwoaniedokomentarza">
    <w:name w:val="annotation reference"/>
    <w:basedOn w:val="Domylnaczcionkaakapitu"/>
    <w:uiPriority w:val="99"/>
    <w:semiHidden/>
    <w:unhideWhenUsed/>
    <w:rsid w:val="008C51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C517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C517C"/>
    <w:rPr>
      <w:rFonts w:ascii="Calibri" w:hAnsi="Calibri"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semiHidden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semiHidden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semiHidden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semiHidden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6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9569B6"/>
  </w:style>
  <w:style w:type="paragraph" w:styleId="Bibliografia">
    <w:name w:val="Bibliography"/>
    <w:basedOn w:val="Normalny"/>
    <w:next w:val="Normalny"/>
    <w:uiPriority w:val="37"/>
    <w:semiHidden/>
    <w:unhideWhenUsed/>
    <w:rsid w:val="009D5B61"/>
  </w:style>
  <w:style w:type="character" w:styleId="Odwoaniedokomentarza">
    <w:name w:val="annotation reference"/>
    <w:basedOn w:val="Domylnaczcionkaakapitu"/>
    <w:uiPriority w:val="99"/>
    <w:semiHidden/>
    <w:unhideWhenUsed/>
    <w:rsid w:val="008C51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C517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C517C"/>
    <w:rPr>
      <w:rFonts w:ascii="Calibri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Course description form</vt:lpstr>
      <vt:lpstr>Course description form</vt:lpstr>
    </vt:vector>
  </TitlesOfParts>
  <Company>HP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form</dc:title>
  <dc:creator>poldyd</dc:creator>
  <cp:lastModifiedBy>swps</cp:lastModifiedBy>
  <cp:revision>13</cp:revision>
  <cp:lastPrinted>2013-10-17T09:09:00Z</cp:lastPrinted>
  <dcterms:created xsi:type="dcterms:W3CDTF">2014-01-09T13:54:00Z</dcterms:created>
  <dcterms:modified xsi:type="dcterms:W3CDTF">2014-01-15T18:37:00Z</dcterms:modified>
</cp:coreProperties>
</file>